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1509" w14:textId="2063BC3A" w:rsidR="00DD4B20" w:rsidRPr="00DD4B20" w:rsidRDefault="007943F4" w:rsidP="00DD4B20">
      <w:pPr>
        <w:spacing w:before="0" w:after="0" w:line="0" w:lineRule="atLeast"/>
        <w:jc w:val="left"/>
        <w:rPr>
          <w:rFonts w:ascii="Arial"/>
          <w:color w:val="FF0000"/>
          <w:sz w:val="2"/>
        </w:rPr>
        <w:sectPr w:rsidR="00DD4B20" w:rsidRPr="00DD4B20" w:rsidSect="00DD4B20">
          <w:pgSz w:w="13220" w:h="18140"/>
          <w:pgMar w:top="0" w:right="100" w:bottom="0" w:left="0" w:header="720" w:footer="720" w:gutter="0"/>
          <w:cols w:space="720"/>
          <w:noEndnote/>
          <w:docGrid w:linePitch="1"/>
        </w:sectPr>
      </w:pPr>
      <w:r>
        <w:rPr>
          <w:noProof/>
          <w:lang w:val="de-DE"/>
        </w:rPr>
        <w:drawing>
          <wp:anchor distT="0" distB="0" distL="114300" distR="114300" simplePos="0" relativeHeight="251658240" behindDoc="1" locked="1" layoutInCell="1" allowOverlap="1" wp14:anchorId="00B27E60" wp14:editId="5F822F76">
            <wp:simplePos x="0" y="0"/>
            <wp:positionH relativeFrom="page">
              <wp:posOffset>-12700</wp:posOffset>
            </wp:positionH>
            <wp:positionV relativeFrom="page">
              <wp:posOffset>-12700</wp:posOffset>
            </wp:positionV>
            <wp:extent cx="8420100" cy="115443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20100" cy="11544300"/>
                    </a:xfrm>
                    <a:prstGeom prst="rect">
                      <a:avLst/>
                    </a:prstGeom>
                    <a:noFill/>
                  </pic:spPr>
                </pic:pic>
              </a:graphicData>
            </a:graphic>
            <wp14:sizeRelH relativeFrom="page">
              <wp14:pctWidth>0</wp14:pctWidth>
            </wp14:sizeRelH>
            <wp14:sizeRelV relativeFrom="page">
              <wp14:pctHeight>0</wp14:pctHeight>
            </wp14:sizeRelV>
          </wp:anchor>
        </w:drawing>
      </w:r>
      <w:bookmarkStart w:id="0" w:name="br1"/>
      <w:bookmarkEnd w:id="0"/>
      <w:r w:rsidR="004130DB">
        <w:rPr>
          <w:color w:val="FF0000"/>
          <w:sz w:val="2"/>
          <w:lang w:val="de-DE"/>
        </w:rPr>
        <w:cr/>
      </w:r>
    </w:p>
    <w:p w14:paraId="29AB5301" w14:textId="77777777" w:rsidR="007C262F" w:rsidRPr="009D0F1F" w:rsidRDefault="007C262F" w:rsidP="007C262F">
      <w:pPr>
        <w:rPr>
          <w:b/>
          <w:i/>
          <w:lang w:val="de-DE"/>
        </w:rPr>
      </w:pPr>
      <w:r>
        <w:rPr>
          <w:b/>
          <w:bCs/>
          <w:i/>
          <w:iCs/>
          <w:lang w:val="de-DE"/>
        </w:rPr>
        <w:lastRenderedPageBreak/>
        <w:t>Montageanleitung</w:t>
      </w:r>
    </w:p>
    <w:p w14:paraId="2C9C2209" w14:textId="77777777" w:rsidR="007C262F" w:rsidRPr="009D0F1F" w:rsidRDefault="007C262F" w:rsidP="00FE3202">
      <w:pPr>
        <w:jc w:val="left"/>
        <w:rPr>
          <w:lang w:val="de-DE"/>
        </w:rPr>
      </w:pPr>
      <w:r>
        <w:rPr>
          <w:lang w:val="de-DE"/>
        </w:rPr>
        <w:t>Montage- und Rotationsanleitung unserer Polyurethan-Beläge auf Ihrer Rotationsstanze</w:t>
      </w:r>
    </w:p>
    <w:p w14:paraId="7CD2707C" w14:textId="77777777" w:rsidR="007C262F" w:rsidRPr="009D0F1F" w:rsidRDefault="007C262F" w:rsidP="00FE3202">
      <w:pPr>
        <w:jc w:val="left"/>
        <w:rPr>
          <w:lang w:val="de-DE"/>
        </w:rPr>
      </w:pPr>
      <w:r>
        <w:rPr>
          <w:u w:val="single"/>
          <w:lang w:val="de-DE"/>
        </w:rPr>
        <w:t>Rotation der Stanzbeläge</w:t>
      </w:r>
      <w:r>
        <w:rPr>
          <w:lang w:val="de-DE"/>
        </w:rPr>
        <w:t xml:space="preserve"> (siehe Videoanleitung)</w:t>
      </w:r>
    </w:p>
    <w:p w14:paraId="30322E3F" w14:textId="77777777" w:rsidR="007C262F" w:rsidRDefault="007C262F" w:rsidP="00FE3202">
      <w:pPr>
        <w:pStyle w:val="Paragraphedeliste"/>
        <w:numPr>
          <w:ilvl w:val="0"/>
          <w:numId w:val="1"/>
        </w:numPr>
      </w:pPr>
      <w:r>
        <w:rPr>
          <w:lang w:val="de-DE"/>
        </w:rPr>
        <w:t xml:space="preserve">Vor Einbau des zu installierenden Gegenstanzbelages ist die korrekte Identifizierung des verstärkten Endes der Puzzlegeometrie zu definieren: Sie beginnen die Montage auf Ihrem Gegenstanzzylinder mit dem </w:t>
      </w:r>
      <w:r w:rsidRPr="00335505">
        <w:rPr>
          <w:b/>
          <w:bCs/>
          <w:lang w:val="de-DE"/>
        </w:rPr>
        <w:t>verstärkten</w:t>
      </w:r>
      <w:r>
        <w:rPr>
          <w:b/>
          <w:bCs/>
          <w:lang w:val="de-DE"/>
        </w:rPr>
        <w:t xml:space="preserve"> </w:t>
      </w:r>
      <w:r w:rsidRPr="00335505">
        <w:rPr>
          <w:b/>
          <w:bCs/>
          <w:lang w:val="de-DE"/>
        </w:rPr>
        <w:t>Teil</w:t>
      </w:r>
      <w:r>
        <w:rPr>
          <w:lang w:val="de-DE"/>
        </w:rPr>
        <w:t xml:space="preserve"> des Puzzlesystems (siehe Abb.) </w:t>
      </w:r>
    </w:p>
    <w:p w14:paraId="102501A1" w14:textId="77777777" w:rsidR="007C262F" w:rsidRPr="009D0F1F" w:rsidRDefault="007C262F" w:rsidP="00FE3202">
      <w:pPr>
        <w:pStyle w:val="Paragraphedeliste"/>
        <w:numPr>
          <w:ilvl w:val="0"/>
          <w:numId w:val="1"/>
        </w:numPr>
        <w:rPr>
          <w:lang w:val="de-DE"/>
        </w:rPr>
      </w:pPr>
      <w:r>
        <w:rPr>
          <w:lang w:val="de-DE"/>
        </w:rPr>
        <w:t>Führen Sie das verstärkte Ende in die Nut des Gegenstanzzylinders ein und befestigen Sie den Gegenstanzbelag mit Hilfe des Hammers im Zylinderslot.</w:t>
      </w:r>
    </w:p>
    <w:p w14:paraId="76BC2FB0" w14:textId="77777777" w:rsidR="007C262F" w:rsidRDefault="007C262F" w:rsidP="00FE3202">
      <w:pPr>
        <w:pStyle w:val="Paragraphedeliste"/>
        <w:numPr>
          <w:ilvl w:val="0"/>
          <w:numId w:val="1"/>
        </w:numPr>
        <w:spacing w:after="0"/>
        <w:rPr>
          <w:lang w:val="de-DE"/>
        </w:rPr>
      </w:pPr>
      <w:r>
        <w:rPr>
          <w:lang w:val="de-DE"/>
        </w:rPr>
        <w:t>Nähern Sie nun das entgegengesetzte Stanzbelagsende der Führungsnut, indem Sie den Belag langsam um den Gegenstanzzylinder rotieren und die „Puzzleköpfe“ des anderen Puzzleendes durch kräftige Hammerschläge in den Zylinderslot/</w:t>
      </w:r>
    </w:p>
    <w:p w14:paraId="2C7E679A" w14:textId="77777777" w:rsidR="007C262F" w:rsidRPr="009C3543" w:rsidRDefault="007C262F" w:rsidP="00FE3202">
      <w:pPr>
        <w:spacing w:after="0"/>
        <w:ind w:left="360"/>
        <w:jc w:val="left"/>
        <w:rPr>
          <w:lang w:val="de-DE"/>
        </w:rPr>
      </w:pPr>
      <w:r>
        <w:rPr>
          <w:lang w:val="de-DE"/>
        </w:rPr>
        <w:t xml:space="preserve">       Steck</w:t>
      </w:r>
      <w:r w:rsidRPr="009C3543">
        <w:rPr>
          <w:lang w:val="de-DE"/>
        </w:rPr>
        <w:t>geometrie einsetzen.</w:t>
      </w:r>
    </w:p>
    <w:p w14:paraId="085951BF" w14:textId="77777777" w:rsidR="007C262F" w:rsidRPr="009D0F1F" w:rsidRDefault="007C262F" w:rsidP="00FE3202">
      <w:pPr>
        <w:pStyle w:val="Paragraphedeliste"/>
        <w:numPr>
          <w:ilvl w:val="0"/>
          <w:numId w:val="1"/>
        </w:numPr>
        <w:rPr>
          <w:lang w:val="de-DE"/>
        </w:rPr>
      </w:pPr>
      <w:r>
        <w:rPr>
          <w:lang w:val="de-DE"/>
        </w:rPr>
        <w:t xml:space="preserve">Beachten Sie dabei, dass die „Puzzleköpfe“ des Gegenstanzbelags korrekt sitzen und im </w:t>
      </w:r>
      <w:proofErr w:type="spellStart"/>
      <w:r>
        <w:rPr>
          <w:lang w:val="de-DE"/>
        </w:rPr>
        <w:t>Slotbereich</w:t>
      </w:r>
      <w:proofErr w:type="spellEnd"/>
      <w:r>
        <w:rPr>
          <w:lang w:val="de-DE"/>
        </w:rPr>
        <w:t xml:space="preserve"> einheitlich abschließen – vermeiden Sie eventuelle Beschädigungen der Puzzleteile durch extreme Krafteinwirkung. </w:t>
      </w:r>
    </w:p>
    <w:p w14:paraId="65A1B4D9" w14:textId="77777777" w:rsidR="007C262F" w:rsidRPr="009D0F1F" w:rsidRDefault="007C262F" w:rsidP="00FE3202">
      <w:pPr>
        <w:jc w:val="left"/>
        <w:rPr>
          <w:u w:val="single"/>
          <w:lang w:val="de-DE"/>
        </w:rPr>
      </w:pPr>
      <w:r>
        <w:rPr>
          <w:u w:val="single"/>
          <w:lang w:val="de-DE"/>
        </w:rPr>
        <w:t>Rotation der Gegenstanzbeläge</w:t>
      </w:r>
    </w:p>
    <w:p w14:paraId="07A3C5F9" w14:textId="77777777" w:rsidR="007C262F" w:rsidRDefault="007C262F" w:rsidP="00FE3202">
      <w:pPr>
        <w:spacing w:after="0"/>
        <w:jc w:val="left"/>
        <w:rPr>
          <w:lang w:val="de-DE"/>
        </w:rPr>
      </w:pPr>
      <w:r>
        <w:rPr>
          <w:lang w:val="de-DE"/>
        </w:rPr>
        <w:t>Eine Rotation (Positionswechsel der installierten Stanzbeläge) erhöht die Dauer und Qualität der Einsatzfähigkeit Ihrer Beläge, dies verbessert insbesondere die Gesamtstanzqualität.</w:t>
      </w:r>
    </w:p>
    <w:p w14:paraId="30EE8C78" w14:textId="77777777" w:rsidR="007C262F" w:rsidRDefault="007C262F" w:rsidP="00FE3202">
      <w:pPr>
        <w:spacing w:after="0"/>
        <w:jc w:val="left"/>
        <w:rPr>
          <w:lang w:val="de-DE"/>
        </w:rPr>
      </w:pPr>
      <w:r>
        <w:rPr>
          <w:lang w:val="de-DE"/>
        </w:rPr>
        <w:t>Wir empfehlen eine objektive Rotation alle 30.000 Stanzungen, wobei die Häufigkeit der Rotationsintervalle je nach Stanzauftrag und Komplexität der Stanzwerkzeuge variieren kann.</w:t>
      </w:r>
    </w:p>
    <w:p w14:paraId="4A8F951C" w14:textId="77777777" w:rsidR="007C262F" w:rsidRPr="009D0F1F" w:rsidRDefault="007C262F" w:rsidP="00FE3202">
      <w:pPr>
        <w:jc w:val="left"/>
        <w:rPr>
          <w:lang w:val="de-DE"/>
        </w:rPr>
      </w:pPr>
      <w:r>
        <w:rPr>
          <w:lang w:val="de-DE"/>
        </w:rPr>
        <w:t xml:space="preserve">Sollte Ihre Rotationsstanze über ein </w:t>
      </w:r>
      <w:proofErr w:type="spellStart"/>
      <w:r>
        <w:rPr>
          <w:lang w:val="de-DE"/>
        </w:rPr>
        <w:t>Micorgrinding</w:t>
      </w:r>
      <w:proofErr w:type="spellEnd"/>
      <w:r>
        <w:rPr>
          <w:lang w:val="de-DE"/>
        </w:rPr>
        <w:t xml:space="preserve">-System verfügen, dann erübrigt sich unter Betrachtung betriebseigener Erfahrungen, eventuell der empfohlene Positionswechsel. </w:t>
      </w:r>
    </w:p>
    <w:p w14:paraId="015831E3" w14:textId="77777777" w:rsidR="007C262F" w:rsidRDefault="007C262F" w:rsidP="00FE3202">
      <w:pPr>
        <w:jc w:val="left"/>
        <w:rPr>
          <w:b/>
          <w:bCs/>
          <w:lang w:val="de-DE"/>
        </w:rPr>
      </w:pPr>
      <w:r>
        <w:rPr>
          <w:b/>
          <w:bCs/>
          <w:lang w:val="de-DE"/>
        </w:rPr>
        <w:t xml:space="preserve">Schritt 1: </w:t>
      </w:r>
      <w:r>
        <w:rPr>
          <w:lang w:val="de-DE"/>
        </w:rPr>
        <w:t>Die Puzzleköpfe vorsichtig aus der Gegenstanzzylindernut lösen und anschließend alle Gegenstanzbeläge über dem Zylinder öffnen und wie im Schema angezeigt, verschieben.</w:t>
      </w:r>
      <w:r>
        <w:rPr>
          <w:lang w:val="de-DE"/>
        </w:rPr>
        <w:br/>
      </w:r>
    </w:p>
    <w:p w14:paraId="2F7E755B" w14:textId="77777777" w:rsidR="007C262F" w:rsidRPr="009D0F1F" w:rsidRDefault="007C262F" w:rsidP="00FE3202">
      <w:pPr>
        <w:jc w:val="left"/>
        <w:rPr>
          <w:lang w:val="de-DE"/>
        </w:rPr>
      </w:pPr>
      <w:r>
        <w:rPr>
          <w:b/>
          <w:bCs/>
          <w:lang w:val="de-DE"/>
        </w:rPr>
        <w:t xml:space="preserve">Schritt 2: </w:t>
      </w:r>
      <w:r>
        <w:rPr>
          <w:lang w:val="de-DE"/>
        </w:rPr>
        <w:t>Rotation der Gegenstanzbeläge nach 2 Anwendungsmethoden:</w:t>
      </w:r>
    </w:p>
    <w:p w14:paraId="2168FE20" w14:textId="77777777" w:rsidR="007C262F" w:rsidRDefault="007C262F" w:rsidP="00FE3202">
      <w:pPr>
        <w:pStyle w:val="Paragraphedeliste"/>
        <w:numPr>
          <w:ilvl w:val="0"/>
          <w:numId w:val="2"/>
        </w:numPr>
        <w:spacing w:after="0"/>
      </w:pPr>
      <w:r w:rsidRPr="001174DC">
        <w:rPr>
          <w:u w:val="single"/>
          <w:lang w:val="de-DE"/>
        </w:rPr>
        <w:t xml:space="preserve">Rotation </w:t>
      </w:r>
      <w:r>
        <w:rPr>
          <w:u w:val="single"/>
          <w:lang w:val="de-DE"/>
        </w:rPr>
        <w:t>beginnend von links/äußeres Ende Stanzbelagszylinder</w:t>
      </w:r>
      <w:r>
        <w:rPr>
          <w:lang w:val="de-DE"/>
        </w:rPr>
        <w:t xml:space="preserve">: </w:t>
      </w:r>
    </w:p>
    <w:p w14:paraId="53E9DD57" w14:textId="77777777" w:rsidR="007C262F" w:rsidRPr="009D0F1F" w:rsidRDefault="007C262F" w:rsidP="00FE3202">
      <w:pPr>
        <w:pStyle w:val="Paragraphedeliste"/>
        <w:spacing w:after="0"/>
        <w:ind w:left="1065"/>
        <w:rPr>
          <w:lang w:val="de-DE"/>
        </w:rPr>
      </w:pPr>
      <w:r>
        <w:rPr>
          <w:lang w:val="de-DE"/>
        </w:rPr>
        <w:t>Entfernen Sie den ersten, äußeren Belag am linken Ende, öffnen Sie die übrigen Beläge und verschieben Sie diese gesamten Gegenstanzbeläge nach links. Dann montieren Sie den entfernten Belag auf die rechte Seite des Gegenstanzzylinders.</w:t>
      </w:r>
    </w:p>
    <w:p w14:paraId="4DDD2E48" w14:textId="77777777" w:rsidR="007C262F" w:rsidRPr="009D0F1F" w:rsidRDefault="007C262F" w:rsidP="00FE3202">
      <w:pPr>
        <w:pStyle w:val="Paragraphedeliste"/>
        <w:ind w:left="1065"/>
        <w:rPr>
          <w:lang w:val="de-DE"/>
        </w:rPr>
      </w:pPr>
    </w:p>
    <w:p w14:paraId="39454FE1" w14:textId="77777777" w:rsidR="007C262F" w:rsidRPr="009D0F1F" w:rsidRDefault="007C262F" w:rsidP="00FE3202">
      <w:pPr>
        <w:pStyle w:val="Paragraphedeliste"/>
        <w:numPr>
          <w:ilvl w:val="0"/>
          <w:numId w:val="2"/>
        </w:numPr>
        <w:rPr>
          <w:lang w:val="de-DE"/>
        </w:rPr>
      </w:pPr>
      <w:r w:rsidRPr="005423FA">
        <w:rPr>
          <w:u w:val="single"/>
          <w:lang w:val="de-DE"/>
        </w:rPr>
        <w:t>Rotation von der Mitte beginnend</w:t>
      </w:r>
      <w:r>
        <w:rPr>
          <w:lang w:val="de-DE"/>
        </w:rPr>
        <w:t>:</w:t>
      </w:r>
    </w:p>
    <w:p w14:paraId="33164EC5" w14:textId="77777777" w:rsidR="007C262F" w:rsidRDefault="007C262F" w:rsidP="00FE3202">
      <w:pPr>
        <w:pStyle w:val="Paragraphedeliste"/>
        <w:ind w:left="1065"/>
        <w:rPr>
          <w:lang w:val="de-DE"/>
        </w:rPr>
      </w:pPr>
      <w:r>
        <w:rPr>
          <w:lang w:val="de-DE"/>
        </w:rPr>
        <w:t>Diese Anwendungspraxis eignet sich bei kleineren Stanzformen, die einen großen Teil der Maschinenbreite/Stanzmaterial ungenutzt lassen.</w:t>
      </w:r>
    </w:p>
    <w:p w14:paraId="79D8A1D9" w14:textId="77777777" w:rsidR="007C262F" w:rsidRDefault="007C262F" w:rsidP="00FE3202">
      <w:pPr>
        <w:pStyle w:val="Paragraphedeliste"/>
        <w:ind w:left="1065"/>
        <w:rPr>
          <w:lang w:val="de-DE"/>
        </w:rPr>
      </w:pPr>
      <w:r>
        <w:rPr>
          <w:lang w:val="de-DE"/>
        </w:rPr>
        <w:t>Die Puzzleköpfe vorsichtig aus der Gegenstanzzylindernut lösen und anschließend alle Gegenstanzbeläge wie im Schema angezeigt, über dem Zylinder öffnen.</w:t>
      </w:r>
    </w:p>
    <w:p w14:paraId="06C5EA36" w14:textId="77777777" w:rsidR="007C262F" w:rsidRDefault="007C262F" w:rsidP="00FE3202">
      <w:pPr>
        <w:pStyle w:val="Paragraphedeliste"/>
        <w:ind w:left="1065"/>
        <w:rPr>
          <w:lang w:val="de-DE"/>
        </w:rPr>
      </w:pPr>
      <w:r>
        <w:rPr>
          <w:lang w:val="de-DE"/>
        </w:rPr>
        <w:t xml:space="preserve">Entfernen Sie die beiden mittleren Beläge und versetzen Sie die anderen Beläge in die Stanzzylindermitte. Montieren Sie nun die entfernten Beläge an jedes Ende/Extremität des Gegenstanzzylinders. </w:t>
      </w:r>
    </w:p>
    <w:p w14:paraId="71B6CE24" w14:textId="77777777" w:rsidR="007C262F" w:rsidRDefault="007C262F" w:rsidP="00FE3202">
      <w:pPr>
        <w:pStyle w:val="Paragraphedeliste"/>
        <w:ind w:left="1065"/>
        <w:rPr>
          <w:lang w:val="de-DE"/>
        </w:rPr>
      </w:pPr>
      <w:r>
        <w:rPr>
          <w:lang w:val="de-DE"/>
        </w:rPr>
        <w:t>Bei einer ungeraden Anzahl von Teilen - um eine ungleiche Abnutzung zwischen der rechten und linken Seite zu vermeiden - ist folgendes zu beachten:</w:t>
      </w:r>
    </w:p>
    <w:p w14:paraId="0D0F2195" w14:textId="77777777" w:rsidR="007C262F" w:rsidRPr="009D0F1F" w:rsidRDefault="007C262F" w:rsidP="00FE3202">
      <w:pPr>
        <w:pStyle w:val="Paragraphedeliste"/>
        <w:numPr>
          <w:ilvl w:val="0"/>
          <w:numId w:val="3"/>
        </w:numPr>
        <w:rPr>
          <w:lang w:val="de-DE"/>
        </w:rPr>
      </w:pPr>
      <w:r>
        <w:rPr>
          <w:lang w:val="de-DE"/>
        </w:rPr>
        <w:t xml:space="preserve">Bei Rotation das </w:t>
      </w:r>
      <w:r w:rsidRPr="006D1D98">
        <w:rPr>
          <w:u w:val="single"/>
          <w:lang w:val="de-DE"/>
        </w:rPr>
        <w:t>Mittelteil</w:t>
      </w:r>
      <w:r>
        <w:rPr>
          <w:lang w:val="de-DE"/>
        </w:rPr>
        <w:t xml:space="preserve"> und das auf der </w:t>
      </w:r>
      <w:r w:rsidRPr="006D1D98">
        <w:rPr>
          <w:u w:val="single"/>
          <w:lang w:val="de-DE"/>
        </w:rPr>
        <w:t>rechten, äußeren Seite</w:t>
      </w:r>
      <w:r>
        <w:rPr>
          <w:lang w:val="de-DE"/>
        </w:rPr>
        <w:t xml:space="preserve"> befindliche Stanzbelagsteil bewegen. Bei nächster Rotationsphase, das </w:t>
      </w:r>
      <w:r w:rsidRPr="006D1D98">
        <w:rPr>
          <w:u w:val="single"/>
          <w:lang w:val="de-DE"/>
        </w:rPr>
        <w:t>Mittelteil</w:t>
      </w:r>
      <w:r>
        <w:rPr>
          <w:lang w:val="de-DE"/>
        </w:rPr>
        <w:t xml:space="preserve"> und das auf der </w:t>
      </w:r>
      <w:r w:rsidRPr="006D1D98">
        <w:rPr>
          <w:u w:val="single"/>
          <w:lang w:val="de-DE"/>
        </w:rPr>
        <w:t>linken, äußeren Seite</w:t>
      </w:r>
      <w:r>
        <w:rPr>
          <w:lang w:val="de-DE"/>
        </w:rPr>
        <w:t xml:space="preserve"> befindliche Teil in gleicher Weise verschieben. </w:t>
      </w:r>
    </w:p>
    <w:p w14:paraId="18881731" w14:textId="77777777" w:rsidR="007C262F" w:rsidRPr="009D0F1F" w:rsidRDefault="007C262F" w:rsidP="00FE3202">
      <w:pPr>
        <w:pStyle w:val="Paragraphedeliste"/>
        <w:ind w:left="1065"/>
        <w:rPr>
          <w:lang w:val="de-DE"/>
        </w:rPr>
      </w:pPr>
    </w:p>
    <w:p w14:paraId="37EE5FE9" w14:textId="77777777" w:rsidR="007C262F" w:rsidRDefault="007C262F" w:rsidP="00FE3202">
      <w:pPr>
        <w:pStyle w:val="Paragraphedeliste"/>
        <w:ind w:left="0"/>
        <w:rPr>
          <w:lang w:val="de-DE"/>
        </w:rPr>
      </w:pPr>
      <w:r>
        <w:rPr>
          <w:lang w:val="de-DE"/>
        </w:rPr>
        <w:t>Bei Beachtung der empfohlenen Rotationsanweisungen, können unsere RODICUT Gegenstanzbeläge beliebig oft rotiert werden.</w:t>
      </w:r>
    </w:p>
    <w:p w14:paraId="4EE22E75" w14:textId="77777777" w:rsidR="007C262F" w:rsidRPr="009D0F1F" w:rsidRDefault="007C262F" w:rsidP="00FE3202">
      <w:pPr>
        <w:pStyle w:val="Paragraphedeliste"/>
        <w:ind w:left="0"/>
        <w:rPr>
          <w:lang w:val="de-DE"/>
        </w:rPr>
      </w:pPr>
      <w:r>
        <w:rPr>
          <w:lang w:val="de-DE"/>
        </w:rPr>
        <w:t xml:space="preserve">Weder die Qualitätsvorzüge des PU-Materials noch die qualitative Einsatzfähigkeit werden durch ein mehrfaches Rotieren beeinträchtigt. </w:t>
      </w:r>
    </w:p>
    <w:p w14:paraId="561D1CEA" w14:textId="77777777" w:rsidR="007C262F" w:rsidRPr="009D0F1F" w:rsidRDefault="007C262F" w:rsidP="00FE3202">
      <w:pPr>
        <w:pStyle w:val="Paragraphedeliste"/>
        <w:ind w:left="0"/>
        <w:rPr>
          <w:lang w:val="de-DE"/>
        </w:rPr>
      </w:pPr>
    </w:p>
    <w:p w14:paraId="52C8E365" w14:textId="77777777" w:rsidR="00DD4B20" w:rsidRPr="007C262F" w:rsidRDefault="004130DB" w:rsidP="00FE3202">
      <w:pPr>
        <w:spacing w:before="0" w:after="0" w:line="0" w:lineRule="atLeast"/>
        <w:jc w:val="left"/>
        <w:rPr>
          <w:rFonts w:ascii="Arial"/>
          <w:color w:val="FF0000"/>
          <w:sz w:val="2"/>
          <w:lang w:val="de-DE"/>
        </w:rPr>
      </w:pPr>
      <w:r>
        <w:rPr>
          <w:rFonts w:ascii="Arial"/>
          <w:color w:val="FF0000"/>
          <w:sz w:val="2"/>
          <w:lang w:val="de-DE"/>
        </w:rPr>
        <w:br w:type="page"/>
      </w:r>
    </w:p>
    <w:p w14:paraId="7FC86D88" w14:textId="5BE83AFB" w:rsidR="00DD4B20" w:rsidRPr="007C262F" w:rsidRDefault="007943F4" w:rsidP="00DD4B20">
      <w:pPr>
        <w:spacing w:before="0" w:after="0" w:line="431" w:lineRule="exact"/>
        <w:jc w:val="left"/>
        <w:rPr>
          <w:rFonts w:ascii="KTWLIL+Gotham-Ultra"/>
          <w:color w:val="000000"/>
          <w:sz w:val="30"/>
          <w:lang w:val="de-DE"/>
        </w:rPr>
      </w:pPr>
      <w:bookmarkStart w:id="1" w:name="br2"/>
      <w:bookmarkEnd w:id="1"/>
      <w:r>
        <w:rPr>
          <w:rFonts w:ascii="KTWLIL+Gotham-Ultra" w:hAnsi="KTWLIL+Gotham-Ultra"/>
          <w:noProof/>
          <w:lang w:val="de-DE"/>
        </w:rPr>
        <w:lastRenderedPageBreak/>
        <w:drawing>
          <wp:anchor distT="0" distB="0" distL="114300" distR="114300" simplePos="0" relativeHeight="251659264" behindDoc="1" locked="1" layoutInCell="1" allowOverlap="1" wp14:anchorId="5AA6E7BD" wp14:editId="6D61CC51">
            <wp:simplePos x="0" y="0"/>
            <wp:positionH relativeFrom="page">
              <wp:posOffset>78740</wp:posOffset>
            </wp:positionH>
            <wp:positionV relativeFrom="page">
              <wp:posOffset>276860</wp:posOffset>
            </wp:positionV>
            <wp:extent cx="8420100" cy="115443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0" cy="11544300"/>
                    </a:xfrm>
                    <a:prstGeom prst="rect">
                      <a:avLst/>
                    </a:prstGeom>
                    <a:noFill/>
                  </pic:spPr>
                </pic:pic>
              </a:graphicData>
            </a:graphic>
            <wp14:sizeRelH relativeFrom="page">
              <wp14:pctWidth>0</wp14:pctWidth>
            </wp14:sizeRelH>
            <wp14:sizeRelV relativeFrom="page">
              <wp14:pctHeight>0</wp14:pctHeight>
            </wp14:sizeRelV>
          </wp:anchor>
        </w:drawing>
      </w:r>
      <w:r w:rsidR="007C262F">
        <w:rPr>
          <w:rFonts w:ascii="KTWLIL+Gotham-Ultra" w:hAnsi="KTWLIL+Gotham-Ultra"/>
          <w:color w:val="F47B30"/>
          <w:sz w:val="30"/>
          <w:lang w:val="de-DE"/>
        </w:rPr>
        <w:t xml:space="preserve">Rotations-Report </w:t>
      </w:r>
      <w:r>
        <w:rPr>
          <w:rFonts w:ascii="KTWLIL+Gotham-Ultra" w:hAnsi="KTWLIL+Gotham-Ultra"/>
          <w:color w:val="F47B30"/>
          <w:sz w:val="30"/>
          <w:lang w:val="de-DE"/>
        </w:rPr>
        <w:t xml:space="preserve">zur Übersicht/Anzahl Drehungen </w:t>
      </w:r>
      <w:r w:rsidR="007C262F">
        <w:rPr>
          <w:rFonts w:ascii="KTWLIL+Gotham-Ultra" w:hAnsi="KTWLIL+Gotham-Ultra"/>
          <w:color w:val="F47B30"/>
          <w:sz w:val="30"/>
          <w:lang w:val="de-DE"/>
        </w:rPr>
        <w:t>Ihrer</w:t>
      </w:r>
      <w:r w:rsidR="004130DB">
        <w:rPr>
          <w:rFonts w:ascii="KTWLIL+Gotham-Ultra" w:hAnsi="KTWLIL+Gotham-Ultra"/>
          <w:color w:val="F47B30"/>
          <w:sz w:val="30"/>
          <w:lang w:val="de-DE"/>
        </w:rPr>
        <w:t xml:space="preserve"> G</w:t>
      </w:r>
      <w:r w:rsidR="007C262F">
        <w:rPr>
          <w:rFonts w:ascii="KTWLIL+Gotham-Ultra" w:hAnsi="KTWLIL+Gotham-Ultra"/>
          <w:color w:val="F47B30"/>
          <w:sz w:val="30"/>
          <w:lang w:val="de-DE"/>
        </w:rPr>
        <w:t>egenstanzbeläge</w:t>
      </w:r>
    </w:p>
    <w:p w14:paraId="7F48B341" w14:textId="7B8B7E2F" w:rsidR="007943F4" w:rsidRDefault="004130DB" w:rsidP="00DD4B20">
      <w:pPr>
        <w:spacing w:before="0" w:after="0" w:line="300" w:lineRule="exact"/>
        <w:jc w:val="left"/>
        <w:rPr>
          <w:rFonts w:ascii="FJLHHU+UnitedSansSemiCond-Bold" w:hAnsi="FJLHHU+UnitedSansSemiCond-Bold"/>
          <w:color w:val="221E1F"/>
          <w:sz w:val="28"/>
          <w:lang w:val="de-DE"/>
        </w:rPr>
      </w:pPr>
      <w:r>
        <w:rPr>
          <w:rFonts w:ascii="FJLHHU+UnitedSansSemiCond-Bold" w:hAnsi="FJLHHU+UnitedSansSemiCond-Bold"/>
          <w:color w:val="221E1F"/>
          <w:sz w:val="28"/>
          <w:lang w:val="de-DE"/>
        </w:rPr>
        <w:t>Empfohlene</w:t>
      </w:r>
      <w:r w:rsidR="007943F4">
        <w:rPr>
          <w:rFonts w:ascii="FJLHHU+UnitedSansSemiCond-Bold" w:hAnsi="FJLHHU+UnitedSansSemiCond-Bold"/>
          <w:color w:val="221E1F"/>
          <w:sz w:val="28"/>
          <w:lang w:val="de-DE"/>
        </w:rPr>
        <w:t>r Rotationsintervall:</w:t>
      </w:r>
      <w:r>
        <w:rPr>
          <w:rFonts w:ascii="FJLHHU+UnitedSansSemiCond-Bold" w:hAnsi="FJLHHU+UnitedSansSemiCond-Bold"/>
          <w:color w:val="221E1F"/>
          <w:sz w:val="28"/>
          <w:lang w:val="de-DE"/>
        </w:rPr>
        <w:t xml:space="preserve"> alle 30.000 </w:t>
      </w:r>
      <w:r w:rsidR="007C262F">
        <w:rPr>
          <w:rFonts w:ascii="FJLHHU+UnitedSansSemiCond-Bold" w:hAnsi="FJLHHU+UnitedSansSemiCond-Bold"/>
          <w:color w:val="221E1F"/>
          <w:sz w:val="28"/>
          <w:lang w:val="de-DE"/>
        </w:rPr>
        <w:t>Hübe/</w:t>
      </w:r>
      <w:r w:rsidR="007943F4">
        <w:rPr>
          <w:rFonts w:ascii="FJLHHU+UnitedSansSemiCond-Bold" w:hAnsi="FJLHHU+UnitedSansSemiCond-Bold"/>
          <w:color w:val="221E1F"/>
          <w:sz w:val="28"/>
          <w:lang w:val="de-DE"/>
        </w:rPr>
        <w:t>Stanzungen –</w:t>
      </w:r>
    </w:p>
    <w:p w14:paraId="0BF9938E" w14:textId="260B0026" w:rsidR="00DD4B20" w:rsidRPr="00DD4B20" w:rsidRDefault="007943F4" w:rsidP="00DD4B20">
      <w:pPr>
        <w:spacing w:before="0" w:after="0" w:line="300" w:lineRule="exact"/>
        <w:jc w:val="left"/>
        <w:rPr>
          <w:rFonts w:ascii="FJLHHU+UnitedSansSemiCond-Bold"/>
          <w:color w:val="000000"/>
          <w:sz w:val="28"/>
        </w:rPr>
      </w:pPr>
      <w:r>
        <w:rPr>
          <w:rFonts w:ascii="FJLHHU+UnitedSansSemiCond-Bold" w:hAnsi="FJLHHU+UnitedSansSemiCond-Bold"/>
          <w:color w:val="221E1F"/>
          <w:sz w:val="28"/>
          <w:lang w:val="de-DE"/>
        </w:rPr>
        <w:t>o</w:t>
      </w:r>
      <w:r w:rsidR="004130DB">
        <w:rPr>
          <w:rFonts w:ascii="FJLHHU+UnitedSansSemiCond-Bold" w:hAnsi="FJLHHU+UnitedSansSemiCond-Bold"/>
          <w:color w:val="221E1F"/>
          <w:sz w:val="28"/>
          <w:lang w:val="de-DE"/>
        </w:rPr>
        <w:t>der</w:t>
      </w:r>
      <w:r>
        <w:rPr>
          <w:rFonts w:ascii="FJLHHU+UnitedSansSemiCond-Bold" w:hAnsi="FJLHHU+UnitedSansSemiCond-Bold"/>
          <w:color w:val="221E1F"/>
          <w:sz w:val="28"/>
          <w:lang w:val="de-DE"/>
        </w:rPr>
        <w:t xml:space="preserve"> b</w:t>
      </w:r>
      <w:proofErr w:type="spellStart"/>
      <w:r w:rsidR="007C262F" w:rsidRPr="007C262F">
        <w:rPr>
          <w:rFonts w:ascii="FJLHHU+UnitedSansSemiCond-Bold" w:hAnsi="FJLHHU+UnitedSansSemiCond-Bold"/>
          <w:color w:val="221E1F"/>
          <w:sz w:val="28"/>
          <w:lang w:val="en-AU"/>
        </w:rPr>
        <w:t>ei</w:t>
      </w:r>
      <w:proofErr w:type="spellEnd"/>
      <w:r w:rsidR="007C262F" w:rsidRPr="007C262F">
        <w:rPr>
          <w:rFonts w:ascii="FJLHHU+UnitedSansSemiCond-Bold" w:hAnsi="FJLHHU+UnitedSansSemiCond-Bold"/>
          <w:color w:val="221E1F"/>
          <w:sz w:val="28"/>
          <w:lang w:val="en-AU"/>
        </w:rPr>
        <w:t xml:space="preserve"> </w:t>
      </w:r>
      <w:proofErr w:type="spellStart"/>
      <w:r w:rsidR="007C262F" w:rsidRPr="007C262F">
        <w:rPr>
          <w:rFonts w:ascii="FJLHHU+UnitedSansSemiCond-Bold" w:hAnsi="FJLHHU+UnitedSansSemiCond-Bold"/>
          <w:color w:val="221E1F"/>
          <w:sz w:val="28"/>
          <w:lang w:val="en-AU"/>
        </w:rPr>
        <w:t>Schichtbeginn</w:t>
      </w:r>
      <w:proofErr w:type="spellEnd"/>
      <w:r>
        <w:rPr>
          <w:rFonts w:ascii="FJLHHU+UnitedSansSemiCond-Bold" w:hAnsi="FJLHHU+UnitedSansSemiCond-Bold"/>
          <w:color w:val="221E1F"/>
          <w:sz w:val="28"/>
          <w:lang w:val="en-AU"/>
        </w:rPr>
        <w:t>/</w:t>
      </w:r>
      <w:proofErr w:type="spellStart"/>
      <w:r>
        <w:rPr>
          <w:rFonts w:ascii="FJLHHU+UnitedSansSemiCond-Bold" w:hAnsi="FJLHHU+UnitedSansSemiCond-Bold"/>
          <w:color w:val="221E1F"/>
          <w:sz w:val="28"/>
          <w:lang w:val="en-AU"/>
        </w:rPr>
        <w:t>Schichtwechsel</w:t>
      </w:r>
      <w:proofErr w:type="spellEnd"/>
    </w:p>
    <w:p w14:paraId="009E6CC8" w14:textId="3811B634" w:rsidR="00DD4B20" w:rsidRPr="00DD4B20" w:rsidRDefault="004130DB" w:rsidP="00DD4B20">
      <w:pPr>
        <w:spacing w:before="0" w:after="0" w:line="330" w:lineRule="exact"/>
        <w:ind w:right="4597"/>
        <w:jc w:val="left"/>
        <w:rPr>
          <w:rFonts w:ascii="FJLHHU+UnitedSansSemiCond-Bold"/>
          <w:color w:val="000000"/>
          <w:sz w:val="28"/>
        </w:rPr>
      </w:pPr>
      <w:r w:rsidRPr="007C262F">
        <w:rPr>
          <w:rFonts w:ascii="PHLULP+Gotham-Book"/>
          <w:color w:val="F47B30"/>
          <w:sz w:val="30"/>
          <w:lang w:val="en-AU"/>
        </w:rPr>
        <w:t>ROTATION OF ANVIL COVERS</w:t>
      </w:r>
      <w:r w:rsidR="007C262F">
        <w:rPr>
          <w:rFonts w:ascii="PHLULP+Gotham-Book"/>
          <w:color w:val="F47B30"/>
          <w:sz w:val="30"/>
          <w:lang w:val="en-AU"/>
        </w:rPr>
        <w:t xml:space="preserve"> </w:t>
      </w:r>
      <w:r w:rsidRPr="007C262F">
        <w:rPr>
          <w:rFonts w:ascii="PHLULP+Gotham-Book"/>
          <w:color w:val="F47B30"/>
          <w:sz w:val="30"/>
          <w:lang w:val="en-AU"/>
        </w:rPr>
        <w:t xml:space="preserve">- LOG SHEET </w:t>
      </w:r>
      <w:r w:rsidRPr="007C262F">
        <w:rPr>
          <w:rFonts w:ascii="FJLHHU+UnitedSansSemiCond-Bold"/>
          <w:color w:val="69747A"/>
          <w:sz w:val="28"/>
          <w:lang w:val="en-AU"/>
        </w:rPr>
        <w:t xml:space="preserve">Recommended rotation every 30.000 impressions or each working </w:t>
      </w:r>
      <w:proofErr w:type="gramStart"/>
      <w:r w:rsidRPr="007C262F">
        <w:rPr>
          <w:rFonts w:ascii="FJLHHU+UnitedSansSemiCond-Bold"/>
          <w:color w:val="69747A"/>
          <w:sz w:val="28"/>
          <w:lang w:val="en-AU"/>
        </w:rPr>
        <w:t>shift</w:t>
      </w:r>
      <w:proofErr w:type="gramEnd"/>
    </w:p>
    <w:p w14:paraId="58BFDEFD" w14:textId="6138A04A" w:rsidR="00DD4B20" w:rsidRPr="00DD4B20" w:rsidRDefault="004130DB" w:rsidP="004130DB">
      <w:pPr>
        <w:spacing w:before="0" w:after="0" w:line="351" w:lineRule="exact"/>
        <w:ind w:left="30"/>
        <w:jc w:val="left"/>
        <w:rPr>
          <w:rFonts w:ascii="FJLHHU+UnitedSansSemiCond-Bold"/>
          <w:color w:val="000000"/>
          <w:sz w:val="33"/>
        </w:rPr>
      </w:pPr>
      <w:r>
        <w:rPr>
          <w:rFonts w:ascii="FJLHHU+UnitedSansSemiCond-Bold" w:hAnsi="FJLHHU+UnitedSansSemiCond-Bold"/>
          <w:color w:val="221E1F"/>
          <w:sz w:val="33"/>
          <w:lang w:val="de-DE"/>
        </w:rPr>
        <w:t>UNTERNEHMEN/</w:t>
      </w:r>
      <w:r>
        <w:rPr>
          <w:rFonts w:ascii="FJLHHU+UnitedSansSemiCond-Bold" w:hAnsi="FJLHHU+UnitedSansSemiCond-Bold"/>
          <w:color w:val="69747A"/>
          <w:sz w:val="33"/>
          <w:lang w:val="de-DE"/>
        </w:rPr>
        <w:t>COMPANY:</w:t>
      </w:r>
    </w:p>
    <w:p w14:paraId="53DA81CD" w14:textId="7862F97B" w:rsidR="00DD4B20" w:rsidRDefault="004130DB" w:rsidP="00DD4B20">
      <w:pPr>
        <w:spacing w:before="156" w:after="0" w:line="351" w:lineRule="exact"/>
        <w:ind w:left="30"/>
        <w:jc w:val="left"/>
        <w:rPr>
          <w:rFonts w:ascii="FJLHHU+UnitedSansSemiCond-Bold" w:hAnsi="FJLHHU+UnitedSansSemiCond-Bold"/>
          <w:color w:val="69747A"/>
          <w:sz w:val="33"/>
          <w:lang w:val="de-DE"/>
        </w:rPr>
      </w:pPr>
      <w:r>
        <w:rPr>
          <w:rFonts w:ascii="FJLHHU+UnitedSansSemiCond-Bold" w:hAnsi="FJLHHU+UnitedSansSemiCond-Bold"/>
          <w:color w:val="221E1F"/>
          <w:sz w:val="33"/>
          <w:lang w:val="de-DE"/>
        </w:rPr>
        <w:t>MASCHINE/</w:t>
      </w:r>
      <w:r>
        <w:rPr>
          <w:rFonts w:ascii="FJLHHU+UnitedSansSemiCond-Bold" w:hAnsi="FJLHHU+UnitedSansSemiCond-Bold"/>
          <w:color w:val="69747A"/>
          <w:sz w:val="33"/>
          <w:lang w:val="de-DE"/>
        </w:rPr>
        <w:t>MACHINE:</w:t>
      </w:r>
    </w:p>
    <w:p w14:paraId="0809CB77" w14:textId="7CAB9EAE" w:rsidR="007943F4" w:rsidRDefault="007943F4" w:rsidP="007943F4">
      <w:pPr>
        <w:spacing w:before="156" w:after="0" w:line="351" w:lineRule="exact"/>
        <w:jc w:val="left"/>
        <w:rPr>
          <w:rFonts w:ascii="FJLHHU+UnitedSansSemiCond-Bold" w:hAnsi="FJLHHU+UnitedSansSemiCond-Bold"/>
          <w:color w:val="221E1F"/>
          <w:sz w:val="16"/>
          <w:szCs w:val="16"/>
          <w:lang w:val="de-DE"/>
        </w:rPr>
      </w:pPr>
      <w:r w:rsidRPr="007943F4">
        <w:rPr>
          <w:rFonts w:ascii="FJLHHU+UnitedSansSemiCond-Bold" w:hAnsi="FJLHHU+UnitedSansSemiCond-Bold"/>
          <w:color w:val="221E1F"/>
          <w:sz w:val="16"/>
          <w:szCs w:val="16"/>
          <w:lang w:val="de-DE"/>
        </w:rPr>
        <w:t>D</w:t>
      </w:r>
      <w:r>
        <w:rPr>
          <w:rFonts w:ascii="FJLHHU+UnitedSansSemiCond-Bold" w:hAnsi="FJLHHU+UnitedSansSemiCond-Bold"/>
          <w:color w:val="221E1F"/>
          <w:sz w:val="16"/>
          <w:szCs w:val="16"/>
          <w:lang w:val="de-DE"/>
        </w:rPr>
        <w:t xml:space="preserve">atum Installierung/oder erfolgte </w:t>
      </w:r>
      <w:proofErr w:type="gramStart"/>
      <w:r>
        <w:rPr>
          <w:rFonts w:ascii="FJLHHU+UnitedSansSemiCond-Bold" w:hAnsi="FJLHHU+UnitedSansSemiCond-Bold"/>
          <w:color w:val="221E1F"/>
          <w:sz w:val="16"/>
          <w:szCs w:val="16"/>
          <w:lang w:val="de-DE"/>
        </w:rPr>
        <w:t>Rotation  Team</w:t>
      </w:r>
      <w:proofErr w:type="gramEnd"/>
      <w:r>
        <w:rPr>
          <w:rFonts w:ascii="FJLHHU+UnitedSansSemiCond-Bold" w:hAnsi="FJLHHU+UnitedSansSemiCond-Bold"/>
          <w:color w:val="221E1F"/>
          <w:sz w:val="16"/>
          <w:szCs w:val="16"/>
          <w:lang w:val="de-DE"/>
        </w:rPr>
        <w:t>/Schichtführer        Anzahl Drehungen                                               Bemerkungen</w:t>
      </w:r>
    </w:p>
    <w:p w14:paraId="2C7DB5FE" w14:textId="77777777" w:rsidR="007943F4" w:rsidRPr="007943F4" w:rsidRDefault="007943F4" w:rsidP="00DD4B20">
      <w:pPr>
        <w:spacing w:before="156" w:after="0" w:line="351" w:lineRule="exact"/>
        <w:ind w:left="30"/>
        <w:jc w:val="left"/>
        <w:rPr>
          <w:rFonts w:ascii="FJLHHU+UnitedSansSemiCond-Bold"/>
          <w:color w:val="000000"/>
          <w:sz w:val="16"/>
          <w:szCs w:val="16"/>
          <w:lang w:val="de-DE"/>
        </w:rPr>
      </w:pPr>
    </w:p>
    <w:sectPr w:rsidR="007943F4" w:rsidRPr="007943F4" w:rsidSect="00DD4B20">
      <w:pgSz w:w="13220" w:h="18140"/>
      <w:pgMar w:top="1313" w:right="100" w:bottom="0" w:left="1209" w:header="720" w:footer="720" w:gutter="0"/>
      <w:cols w:space="720"/>
      <w:noEndnote/>
      <w:docGrid w:linePitc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TWLIL+Gotham-Ultra">
    <w:altName w:val="Segoe UI Historic"/>
    <w:charset w:val="01"/>
    <w:family w:val="auto"/>
    <w:pitch w:val="variable"/>
    <w:sig w:usb0="01010101" w:usb1="01010101" w:usb2="00000000" w:usb3="00000000" w:csb0="00000000" w:csb1="00000000"/>
  </w:font>
  <w:font w:name="FJLHHU+UnitedSansSemiCond-Bold">
    <w:altName w:val="Segoe UI Historic"/>
    <w:charset w:val="01"/>
    <w:family w:val="auto"/>
    <w:pitch w:val="variable"/>
    <w:sig w:usb0="01010101" w:usb1="01010101" w:usb2="00000000" w:usb3="00000000" w:csb0="00000000" w:csb1="00000000"/>
  </w:font>
  <w:font w:name="PHLULP+Gotham-Book">
    <w:altName w:val="Segoe UI Historic"/>
    <w:charset w:val="01"/>
    <w:family w:val="auto"/>
    <w:pitch w:val="variable"/>
    <w:sig w:usb0="01010101" w:usb1="01010101"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27151"/>
    <w:multiLevelType w:val="hybridMultilevel"/>
    <w:tmpl w:val="EC38A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005488A"/>
    <w:multiLevelType w:val="hybridMultilevel"/>
    <w:tmpl w:val="32AC4E30"/>
    <w:lvl w:ilvl="0" w:tplc="A2EEEDFA">
      <w:start w:val="23"/>
      <w:numFmt w:val="bullet"/>
      <w:lvlText w:val="-"/>
      <w:lvlJc w:val="left"/>
      <w:pPr>
        <w:ind w:left="1425" w:hanging="360"/>
      </w:pPr>
      <w:rPr>
        <w:rFonts w:ascii="Calibri" w:eastAsiaTheme="minorHAnsi"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7B96734B"/>
    <w:multiLevelType w:val="hybridMultilevel"/>
    <w:tmpl w:val="A6A0CFE8"/>
    <w:lvl w:ilvl="0" w:tplc="5A26CB7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904533524">
    <w:abstractNumId w:val="0"/>
  </w:num>
  <w:num w:numId="2" w16cid:durableId="964308531">
    <w:abstractNumId w:val="2"/>
  </w:num>
  <w:num w:numId="3" w16cid:durableId="40850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2D"/>
    <w:rsid w:val="0023162D"/>
    <w:rsid w:val="004130DB"/>
    <w:rsid w:val="00591128"/>
    <w:rsid w:val="006B50AF"/>
    <w:rsid w:val="007943F4"/>
    <w:rsid w:val="007C262F"/>
    <w:rsid w:val="00D13C98"/>
    <w:rsid w:val="00DD4B20"/>
    <w:rsid w:val="00F470F4"/>
    <w:rsid w:val="00F8404C"/>
    <w:rsid w:val="00FE3202"/>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EC62"/>
  <w15:docId w15:val="{C29B5FA7-A48D-4321-8A61-4BC5B22B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F4"/>
    <w:pPr>
      <w:spacing w:before="120" w:after="240"/>
      <w:jc w:val="both"/>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262F"/>
    <w:pPr>
      <w:spacing w:before="0" w:after="160" w:line="259" w:lineRule="auto"/>
      <w:ind w:left="720"/>
      <w:contextualSpacing/>
      <w:jc w:val="left"/>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3191</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Aspose</dc:creator>
  <cp:lastModifiedBy>Silvia GEORGE</cp:lastModifiedBy>
  <cp:revision>2</cp:revision>
  <dcterms:created xsi:type="dcterms:W3CDTF">2023-02-15T14:21:00Z</dcterms:created>
  <dcterms:modified xsi:type="dcterms:W3CDTF">2023-02-15T14:21:00Z</dcterms:modified>
</cp:coreProperties>
</file>